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FD" w:rsidRDefault="00A602FD" w:rsidP="00A602FD">
      <w:pPr>
        <w:rPr>
          <w:rFonts w:ascii="Arial" w:hAnsi="Arial" w:cs="Arial"/>
          <w:b/>
          <w:sz w:val="22"/>
          <w:szCs w:val="22"/>
        </w:rPr>
      </w:pPr>
      <w:bookmarkStart w:id="0" w:name="_GoBack"/>
      <w:bookmarkEnd w:id="0"/>
    </w:p>
    <w:p w:rsidR="00980DB6" w:rsidRDefault="00980DB6" w:rsidP="00A602FD">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980DB6" w:rsidTr="00980DB6">
        <w:trPr>
          <w:trHeight w:val="2887"/>
        </w:trPr>
        <w:tc>
          <w:tcPr>
            <w:tcW w:w="4886" w:type="dxa"/>
          </w:tcPr>
          <w:p w:rsidR="00980DB6" w:rsidRPr="00980DB6" w:rsidRDefault="00980DB6" w:rsidP="00980DB6">
            <w:pPr>
              <w:rPr>
                <w:rFonts w:ascii="Arial" w:hAnsi="Arial" w:cs="Arial"/>
                <w:b/>
                <w:sz w:val="32"/>
                <w:szCs w:val="32"/>
              </w:rPr>
            </w:pPr>
            <w:r w:rsidRPr="00980DB6">
              <w:rPr>
                <w:rFonts w:ascii="Arial" w:hAnsi="Arial" w:cs="Arial"/>
                <w:b/>
                <w:sz w:val="32"/>
                <w:szCs w:val="32"/>
              </w:rPr>
              <w:t>Die EU hilft Milliarden sparen</w:t>
            </w:r>
          </w:p>
          <w:p w:rsidR="00980DB6" w:rsidRPr="00980DB6" w:rsidRDefault="00980DB6" w:rsidP="00980DB6">
            <w:pPr>
              <w:rPr>
                <w:rFonts w:ascii="Arial" w:hAnsi="Arial" w:cs="Arial"/>
                <w:b/>
                <w:sz w:val="32"/>
                <w:szCs w:val="32"/>
              </w:rPr>
            </w:pPr>
          </w:p>
          <w:p w:rsidR="00980DB6" w:rsidRPr="00980DB6" w:rsidRDefault="00980DB6" w:rsidP="00980DB6">
            <w:pPr>
              <w:rPr>
                <w:rFonts w:ascii="Arial" w:hAnsi="Arial" w:cs="Arial"/>
                <w:b/>
                <w:sz w:val="32"/>
                <w:szCs w:val="32"/>
              </w:rPr>
            </w:pPr>
            <w:r w:rsidRPr="00980DB6">
              <w:rPr>
                <w:rFonts w:ascii="Arial" w:hAnsi="Arial" w:cs="Arial"/>
                <w:b/>
                <w:sz w:val="32"/>
                <w:szCs w:val="32"/>
              </w:rPr>
              <w:t>Studie der Bertelsmann Stiftung weist Einspareffekte für die nationalen Haushalte nach</w:t>
            </w:r>
          </w:p>
          <w:p w:rsidR="00980DB6" w:rsidRDefault="00980DB6" w:rsidP="00980DB6">
            <w:pPr>
              <w:jc w:val="right"/>
              <w:rPr>
                <w:rFonts w:ascii="Arial" w:hAnsi="Arial" w:cs="Arial"/>
                <w:b/>
              </w:rPr>
            </w:pPr>
          </w:p>
          <w:p w:rsidR="00980DB6" w:rsidRDefault="00980DB6" w:rsidP="00980DB6">
            <w:pPr>
              <w:jc w:val="right"/>
              <w:rPr>
                <w:rFonts w:ascii="Arial" w:hAnsi="Arial" w:cs="Arial"/>
                <w:b/>
              </w:rPr>
            </w:pPr>
          </w:p>
        </w:tc>
        <w:tc>
          <w:tcPr>
            <w:tcW w:w="4886" w:type="dxa"/>
          </w:tcPr>
          <w:p w:rsidR="00980DB6" w:rsidRDefault="00980DB6" w:rsidP="00980DB6">
            <w:pPr>
              <w:jc w:val="right"/>
              <w:rPr>
                <w:rFonts w:ascii="Arial" w:hAnsi="Arial" w:cs="Arial"/>
                <w:b/>
              </w:rPr>
            </w:pPr>
            <w:r>
              <w:rPr>
                <w:noProof/>
                <w:lang w:val="en-US" w:eastAsia="en-US"/>
              </w:rPr>
              <w:drawing>
                <wp:inline distT="0" distB="0" distL="0" distR="0">
                  <wp:extent cx="1562100" cy="220980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62100" cy="2209800"/>
                          </a:xfrm>
                          <a:prstGeom prst="rect">
                            <a:avLst/>
                          </a:prstGeom>
                          <a:noFill/>
                          <a:ln w="9525">
                            <a:noFill/>
                            <a:miter lim="800000"/>
                            <a:headEnd/>
                            <a:tailEnd/>
                          </a:ln>
                        </pic:spPr>
                      </pic:pic>
                    </a:graphicData>
                  </a:graphic>
                </wp:inline>
              </w:drawing>
            </w:r>
          </w:p>
        </w:tc>
      </w:tr>
    </w:tbl>
    <w:p w:rsidR="00980DB6" w:rsidRDefault="00980DB6" w:rsidP="00980DB6">
      <w:pPr>
        <w:jc w:val="right"/>
        <w:rPr>
          <w:rFonts w:ascii="Arial" w:hAnsi="Arial" w:cs="Arial"/>
          <w:b/>
          <w:sz w:val="22"/>
          <w:szCs w:val="22"/>
        </w:rPr>
      </w:pPr>
    </w:p>
    <w:p w:rsidR="00A602FD" w:rsidRPr="00A602FD" w:rsidRDefault="00A602FD" w:rsidP="00A602FD">
      <w:pPr>
        <w:rPr>
          <w:rFonts w:ascii="Arial" w:hAnsi="Arial" w:cs="Arial"/>
          <w:b/>
          <w:sz w:val="22"/>
          <w:szCs w:val="22"/>
        </w:rPr>
      </w:pPr>
    </w:p>
    <w:p w:rsidR="00837BB4" w:rsidRDefault="00837BB4" w:rsidP="00A602FD">
      <w:pPr>
        <w:rPr>
          <w:rFonts w:ascii="Arial" w:hAnsi="Arial" w:cs="Arial"/>
          <w:sz w:val="22"/>
          <w:szCs w:val="22"/>
        </w:rPr>
      </w:pPr>
      <w:r w:rsidRPr="00A602FD">
        <w:rPr>
          <w:rFonts w:ascii="Arial" w:hAnsi="Arial" w:cs="Arial"/>
          <w:sz w:val="22"/>
          <w:szCs w:val="22"/>
          <w:u w:val="single"/>
        </w:rPr>
        <w:t>Brüssel</w:t>
      </w:r>
      <w:r w:rsidR="00A602FD" w:rsidRPr="00A602FD">
        <w:rPr>
          <w:rFonts w:ascii="Arial" w:hAnsi="Arial" w:cs="Arial"/>
          <w:sz w:val="22"/>
          <w:szCs w:val="22"/>
          <w:u w:val="single"/>
        </w:rPr>
        <w:t>/</w:t>
      </w:r>
      <w:r w:rsidRPr="00A602FD">
        <w:rPr>
          <w:rFonts w:ascii="Arial" w:hAnsi="Arial" w:cs="Arial"/>
          <w:sz w:val="22"/>
          <w:szCs w:val="22"/>
          <w:u w:val="single"/>
        </w:rPr>
        <w:t>Gütersloh, 11. Juli 2013</w:t>
      </w:r>
      <w:r w:rsidR="00A602FD" w:rsidRPr="00A602FD">
        <w:rPr>
          <w:rFonts w:ascii="Arial" w:hAnsi="Arial" w:cs="Arial"/>
          <w:sz w:val="22"/>
          <w:szCs w:val="22"/>
          <w:u w:val="single"/>
        </w:rPr>
        <w:t>.</w:t>
      </w:r>
      <w:r w:rsidRPr="00A602FD">
        <w:rPr>
          <w:rFonts w:ascii="Arial" w:hAnsi="Arial" w:cs="Arial"/>
          <w:sz w:val="22"/>
          <w:szCs w:val="22"/>
        </w:rPr>
        <w:t xml:space="preserve"> Die gemeinsame Politik der EU-Staaten zahlt sich aus. Zum ers</w:t>
      </w:r>
      <w:r w:rsidR="00A602FD">
        <w:rPr>
          <w:rFonts w:ascii="Arial" w:hAnsi="Arial" w:cs="Arial"/>
          <w:sz w:val="22"/>
          <w:szCs w:val="22"/>
        </w:rPr>
        <w:softHyphen/>
      </w:r>
      <w:r w:rsidRPr="00A602FD">
        <w:rPr>
          <w:rFonts w:ascii="Arial" w:hAnsi="Arial" w:cs="Arial"/>
          <w:sz w:val="22"/>
          <w:szCs w:val="22"/>
        </w:rPr>
        <w:t xml:space="preserve">ten Mal wurde </w:t>
      </w:r>
      <w:r w:rsidR="0077776C">
        <w:rPr>
          <w:rFonts w:ascii="Arial" w:hAnsi="Arial" w:cs="Arial"/>
          <w:sz w:val="22"/>
          <w:szCs w:val="22"/>
        </w:rPr>
        <w:t xml:space="preserve">empirisch </w:t>
      </w:r>
      <w:r w:rsidRPr="00A602FD">
        <w:rPr>
          <w:rFonts w:ascii="Arial" w:hAnsi="Arial" w:cs="Arial"/>
          <w:sz w:val="22"/>
          <w:szCs w:val="22"/>
        </w:rPr>
        <w:t>durchgerechnet, dass die Übertragung von Aufgaben auf die EU-Ebene und deren Finanzierung durch die EU den nationalen Regierungen tatsächlich Geld spart. Das ist das Ergebnis der Untersuchung „The European Added Value of EU Spending: Can the EU Help it</w:t>
      </w:r>
      <w:r w:rsidR="006E7A18">
        <w:rPr>
          <w:rFonts w:ascii="Arial" w:hAnsi="Arial" w:cs="Arial"/>
          <w:sz w:val="22"/>
          <w:szCs w:val="22"/>
        </w:rPr>
        <w:t>s</w:t>
      </w:r>
      <w:r w:rsidRPr="00A602FD">
        <w:rPr>
          <w:rFonts w:ascii="Arial" w:hAnsi="Arial" w:cs="Arial"/>
          <w:sz w:val="22"/>
          <w:szCs w:val="22"/>
        </w:rPr>
        <w:t xml:space="preserve"> Member States to Save Money</w:t>
      </w:r>
      <w:r w:rsidR="00D175CE" w:rsidRPr="00A602FD">
        <w:rPr>
          <w:rFonts w:ascii="Arial" w:hAnsi="Arial" w:cs="Arial"/>
          <w:sz w:val="22"/>
          <w:szCs w:val="22"/>
        </w:rPr>
        <w:t xml:space="preserve">?“ der Bertelsmann </w:t>
      </w:r>
      <w:r w:rsidRPr="00A602FD">
        <w:rPr>
          <w:rFonts w:ascii="Arial" w:hAnsi="Arial" w:cs="Arial"/>
          <w:sz w:val="22"/>
          <w:szCs w:val="22"/>
        </w:rPr>
        <w:t>Stiftung in Zusammenarbeit mit dem Zentrum für Europäische Wirtschaftsforschung (ZEW)</w:t>
      </w:r>
      <w:r w:rsidR="003A0FE2" w:rsidRPr="00A602FD">
        <w:rPr>
          <w:rFonts w:ascii="Arial" w:hAnsi="Arial" w:cs="Arial"/>
          <w:sz w:val="22"/>
          <w:szCs w:val="22"/>
        </w:rPr>
        <w:t xml:space="preserve"> und RAND Europe</w:t>
      </w:r>
      <w:r w:rsidRPr="00A602FD">
        <w:rPr>
          <w:rFonts w:ascii="Arial" w:hAnsi="Arial" w:cs="Arial"/>
          <w:sz w:val="22"/>
          <w:szCs w:val="22"/>
        </w:rPr>
        <w:t xml:space="preserve">, die am Donnerstag in Brüssel vorgestellt wurde. Die Mehrwertberechnung wurde vorgenommen für die bereits vergemeinschaftete Agrarpolitik sowie für die Außenpolitik und die Verteidigung, die beide noch in alleiniger Verantwortung der EU-Mitgliedstaaten liegen. </w:t>
      </w:r>
    </w:p>
    <w:p w:rsidR="00837BB4" w:rsidRPr="00A602FD" w:rsidRDefault="00837BB4" w:rsidP="00A602FD">
      <w:pPr>
        <w:rPr>
          <w:rFonts w:ascii="Arial" w:hAnsi="Arial" w:cs="Arial"/>
          <w:sz w:val="22"/>
          <w:szCs w:val="22"/>
        </w:rPr>
      </w:pPr>
    </w:p>
    <w:p w:rsidR="00837BB4" w:rsidRPr="00A602FD" w:rsidRDefault="00837BB4" w:rsidP="00A602FD">
      <w:pPr>
        <w:rPr>
          <w:rFonts w:ascii="Arial" w:hAnsi="Arial" w:cs="Arial"/>
          <w:sz w:val="22"/>
          <w:szCs w:val="22"/>
        </w:rPr>
      </w:pPr>
      <w:r w:rsidRPr="00A602FD">
        <w:rPr>
          <w:rFonts w:ascii="Arial" w:hAnsi="Arial" w:cs="Arial"/>
          <w:sz w:val="22"/>
          <w:szCs w:val="22"/>
        </w:rPr>
        <w:t>Demnach schafft die hochumstrittene gemeinsame Agrarpolitik (GAP) einen europäischen Mehr</w:t>
      </w:r>
      <w:r w:rsidR="00A602FD">
        <w:rPr>
          <w:rFonts w:ascii="Arial" w:hAnsi="Arial" w:cs="Arial"/>
          <w:sz w:val="22"/>
          <w:szCs w:val="22"/>
        </w:rPr>
        <w:softHyphen/>
      </w:r>
      <w:r w:rsidRPr="00A602FD">
        <w:rPr>
          <w:rFonts w:ascii="Arial" w:hAnsi="Arial" w:cs="Arial"/>
          <w:sz w:val="22"/>
          <w:szCs w:val="22"/>
        </w:rPr>
        <w:t>wert, da sie Subventionswettläufe zwischen den Mitgliedstaaten verhindert und ebenfalls politische und ökonomische Verzerrungen vermindert. Allein im Jahr 2010 hätte eine renationalisierte Land</w:t>
      </w:r>
      <w:r w:rsidR="00A602FD">
        <w:rPr>
          <w:rFonts w:ascii="Arial" w:hAnsi="Arial" w:cs="Arial"/>
          <w:sz w:val="22"/>
          <w:szCs w:val="22"/>
        </w:rPr>
        <w:softHyphen/>
      </w:r>
      <w:r w:rsidRPr="00A602FD">
        <w:rPr>
          <w:rFonts w:ascii="Arial" w:hAnsi="Arial" w:cs="Arial"/>
          <w:sz w:val="22"/>
          <w:szCs w:val="22"/>
        </w:rPr>
        <w:t>wirtschaftspolitik die Mitgliedstaaten rund 23 Milliarden Euro mehr gekostet als die momentan über den EU-Haushalt finanzierte.</w:t>
      </w:r>
    </w:p>
    <w:p w:rsidR="00837BB4" w:rsidRPr="00A602FD" w:rsidRDefault="00837BB4" w:rsidP="00A602FD">
      <w:pPr>
        <w:rPr>
          <w:rFonts w:ascii="Arial" w:hAnsi="Arial" w:cs="Arial"/>
          <w:sz w:val="22"/>
          <w:szCs w:val="22"/>
        </w:rPr>
      </w:pPr>
    </w:p>
    <w:p w:rsidR="00837BB4" w:rsidRPr="00A602FD" w:rsidRDefault="00837BB4" w:rsidP="00A602FD">
      <w:pPr>
        <w:rPr>
          <w:rFonts w:ascii="Arial" w:hAnsi="Arial" w:cs="Arial"/>
          <w:sz w:val="22"/>
          <w:szCs w:val="22"/>
        </w:rPr>
      </w:pPr>
      <w:r w:rsidRPr="00A602FD">
        <w:rPr>
          <w:rFonts w:ascii="Arial" w:hAnsi="Arial" w:cs="Arial"/>
          <w:sz w:val="22"/>
          <w:szCs w:val="22"/>
        </w:rPr>
        <w:t>Deutliche Einsparungen könnten auch erzielt werden, wenn die 28 Mitgliedstaaten ihre Außenpoli</w:t>
      </w:r>
      <w:r w:rsidR="00A602FD">
        <w:rPr>
          <w:rFonts w:ascii="Arial" w:hAnsi="Arial" w:cs="Arial"/>
          <w:sz w:val="22"/>
          <w:szCs w:val="22"/>
        </w:rPr>
        <w:softHyphen/>
      </w:r>
      <w:r w:rsidRPr="00A602FD">
        <w:rPr>
          <w:rFonts w:ascii="Arial" w:hAnsi="Arial" w:cs="Arial"/>
          <w:sz w:val="22"/>
          <w:szCs w:val="22"/>
        </w:rPr>
        <w:t>tik stärker harmonisieren würden. So könnten zwischen 420 Millionen und 1,3 Milliarden Euro jähr</w:t>
      </w:r>
      <w:r w:rsidR="00A602FD">
        <w:rPr>
          <w:rFonts w:ascii="Arial" w:hAnsi="Arial" w:cs="Arial"/>
          <w:sz w:val="22"/>
          <w:szCs w:val="22"/>
        </w:rPr>
        <w:softHyphen/>
      </w:r>
      <w:r w:rsidRPr="00A602FD">
        <w:rPr>
          <w:rFonts w:ascii="Arial" w:hAnsi="Arial" w:cs="Arial"/>
          <w:sz w:val="22"/>
          <w:szCs w:val="22"/>
        </w:rPr>
        <w:t>lich (zwischen sechs und 19 Prozent der jährlichen Gesamtausgaben) eingespart werden, wenn die Regierungen die Zahl ihrer Auslandsvertretungen einschränken und Aufgaben im Konsulardienst bündeln würden. „Gerade im Bereich der Auslandsvertretungen ließe sich ein be</w:t>
      </w:r>
      <w:r w:rsidR="00A602FD">
        <w:rPr>
          <w:rFonts w:ascii="Arial" w:hAnsi="Arial" w:cs="Arial"/>
          <w:sz w:val="22"/>
          <w:szCs w:val="22"/>
        </w:rPr>
        <w:softHyphen/>
      </w:r>
      <w:r w:rsidRPr="00A602FD">
        <w:rPr>
          <w:rFonts w:ascii="Arial" w:hAnsi="Arial" w:cs="Arial"/>
          <w:sz w:val="22"/>
          <w:szCs w:val="22"/>
        </w:rPr>
        <w:t>deutender europäischer Mehrwert erzielen“, heißt es in dem Papier.</w:t>
      </w:r>
    </w:p>
    <w:p w:rsidR="00837BB4" w:rsidRPr="00A602FD" w:rsidRDefault="00837BB4" w:rsidP="00A602FD">
      <w:pPr>
        <w:rPr>
          <w:rFonts w:ascii="Arial" w:hAnsi="Arial" w:cs="Arial"/>
          <w:sz w:val="22"/>
          <w:szCs w:val="22"/>
        </w:rPr>
      </w:pPr>
    </w:p>
    <w:p w:rsidR="00837BB4" w:rsidRPr="00A602FD" w:rsidRDefault="00837BB4" w:rsidP="00A602FD">
      <w:pPr>
        <w:rPr>
          <w:rFonts w:ascii="Arial" w:hAnsi="Arial" w:cs="Arial"/>
          <w:sz w:val="22"/>
          <w:szCs w:val="22"/>
        </w:rPr>
      </w:pPr>
      <w:r w:rsidRPr="00A602FD">
        <w:rPr>
          <w:rFonts w:ascii="Arial" w:hAnsi="Arial" w:cs="Arial"/>
          <w:sz w:val="22"/>
          <w:szCs w:val="22"/>
        </w:rPr>
        <w:t>Die</w:t>
      </w:r>
      <w:r w:rsidR="00A602FD">
        <w:rPr>
          <w:rFonts w:ascii="Arial" w:hAnsi="Arial" w:cs="Arial"/>
          <w:sz w:val="22"/>
          <w:szCs w:val="22"/>
        </w:rPr>
        <w:t>s</w:t>
      </w:r>
      <w:r w:rsidRPr="00A602FD">
        <w:rPr>
          <w:rFonts w:ascii="Arial" w:hAnsi="Arial" w:cs="Arial"/>
          <w:sz w:val="22"/>
          <w:szCs w:val="22"/>
        </w:rPr>
        <w:t xml:space="preserve"> gilt auch für den dritten Bereich, die gemeinsame Verteidigungspolitik. Hier beziffern die Auto</w:t>
      </w:r>
      <w:r w:rsidR="00A602FD">
        <w:rPr>
          <w:rFonts w:ascii="Arial" w:hAnsi="Arial" w:cs="Arial"/>
          <w:sz w:val="22"/>
          <w:szCs w:val="22"/>
        </w:rPr>
        <w:softHyphen/>
      </w:r>
      <w:r w:rsidRPr="00A602FD">
        <w:rPr>
          <w:rFonts w:ascii="Arial" w:hAnsi="Arial" w:cs="Arial"/>
          <w:sz w:val="22"/>
          <w:szCs w:val="22"/>
        </w:rPr>
        <w:t>ren das Einspar-Potenzial nur bei Gehältern auf drei bis neun Milliarden Euro jährlich. Zurzeit un</w:t>
      </w:r>
      <w:r w:rsidR="00A602FD">
        <w:rPr>
          <w:rFonts w:ascii="Arial" w:hAnsi="Arial" w:cs="Arial"/>
          <w:sz w:val="22"/>
          <w:szCs w:val="22"/>
        </w:rPr>
        <w:softHyphen/>
      </w:r>
      <w:r w:rsidRPr="00A602FD">
        <w:rPr>
          <w:rFonts w:ascii="Arial" w:hAnsi="Arial" w:cs="Arial"/>
          <w:sz w:val="22"/>
          <w:szCs w:val="22"/>
        </w:rPr>
        <w:t xml:space="preserve">terhalten die Mitgliedstaaten knapp 890.000 Soldatinnen und Soldaten. Diese Landstreitkräfte könnten auf 600.000 sinken. </w:t>
      </w:r>
    </w:p>
    <w:p w:rsidR="00837BB4" w:rsidRDefault="00837BB4" w:rsidP="00A602FD">
      <w:pPr>
        <w:rPr>
          <w:rFonts w:ascii="Arial" w:hAnsi="Arial" w:cs="Arial"/>
          <w:sz w:val="22"/>
          <w:szCs w:val="22"/>
        </w:rPr>
      </w:pPr>
    </w:p>
    <w:p w:rsidR="00A602FD" w:rsidRPr="00A602FD" w:rsidRDefault="00A602FD" w:rsidP="00A602FD">
      <w:pPr>
        <w:rPr>
          <w:rFonts w:ascii="Arial" w:hAnsi="Arial" w:cs="Arial"/>
          <w:sz w:val="22"/>
          <w:szCs w:val="22"/>
        </w:rPr>
      </w:pPr>
    </w:p>
    <w:p w:rsidR="00837BB4" w:rsidRPr="0077776C" w:rsidRDefault="00EE5679" w:rsidP="00A602FD">
      <w:pPr>
        <w:rPr>
          <w:rFonts w:ascii="Arial" w:hAnsi="Arial" w:cs="Arial"/>
          <w:b/>
          <w:sz w:val="22"/>
          <w:szCs w:val="22"/>
          <w:lang w:val="en-US"/>
        </w:rPr>
      </w:pPr>
      <w:proofErr w:type="spellStart"/>
      <w:r w:rsidRPr="00EE5679">
        <w:rPr>
          <w:rFonts w:ascii="Arial" w:hAnsi="Arial" w:cs="Arial"/>
          <w:b/>
          <w:sz w:val="22"/>
          <w:szCs w:val="22"/>
          <w:lang w:val="en-US"/>
        </w:rPr>
        <w:t>Rückfragen</w:t>
      </w:r>
      <w:proofErr w:type="spellEnd"/>
      <w:r w:rsidRPr="00EE5679">
        <w:rPr>
          <w:rFonts w:ascii="Arial" w:hAnsi="Arial" w:cs="Arial"/>
          <w:b/>
          <w:sz w:val="22"/>
          <w:szCs w:val="22"/>
          <w:lang w:val="en-US"/>
        </w:rPr>
        <w:t xml:space="preserve"> an:</w:t>
      </w:r>
      <w:r w:rsidRPr="00EE5679">
        <w:rPr>
          <w:rFonts w:ascii="Arial" w:hAnsi="Arial" w:cs="Arial"/>
          <w:b/>
          <w:sz w:val="22"/>
          <w:szCs w:val="22"/>
          <w:lang w:val="en-US"/>
        </w:rPr>
        <w:tab/>
        <w:t xml:space="preserve">Stefani Weiss, Director, </w:t>
      </w:r>
      <w:proofErr w:type="spellStart"/>
      <w:proofErr w:type="gramStart"/>
      <w:r w:rsidRPr="00EE5679">
        <w:rPr>
          <w:rFonts w:ascii="Arial" w:hAnsi="Arial" w:cs="Arial"/>
          <w:b/>
          <w:sz w:val="22"/>
          <w:szCs w:val="22"/>
          <w:lang w:val="en-US"/>
        </w:rPr>
        <w:t>Programme</w:t>
      </w:r>
      <w:proofErr w:type="spellEnd"/>
      <w:proofErr w:type="gramEnd"/>
      <w:r w:rsidRPr="00EE5679">
        <w:rPr>
          <w:rFonts w:ascii="Arial" w:hAnsi="Arial" w:cs="Arial"/>
          <w:b/>
          <w:sz w:val="22"/>
          <w:szCs w:val="22"/>
          <w:lang w:val="en-US"/>
        </w:rPr>
        <w:t xml:space="preserve"> Europe´s Future</w:t>
      </w:r>
    </w:p>
    <w:p w:rsidR="00837BB4" w:rsidRPr="00A602FD" w:rsidRDefault="00837BB4" w:rsidP="00A602FD">
      <w:pPr>
        <w:ind w:left="1416" w:firstLine="708"/>
        <w:rPr>
          <w:rFonts w:ascii="Arial" w:hAnsi="Arial" w:cs="Arial"/>
          <w:b/>
          <w:sz w:val="22"/>
          <w:szCs w:val="22"/>
        </w:rPr>
      </w:pPr>
      <w:r w:rsidRPr="00A602FD">
        <w:rPr>
          <w:rFonts w:ascii="Arial" w:hAnsi="Arial" w:cs="Arial"/>
          <w:b/>
          <w:sz w:val="22"/>
          <w:szCs w:val="22"/>
        </w:rPr>
        <w:t xml:space="preserve">Bertelsmann Stiftung, </w:t>
      </w:r>
      <w:r w:rsidR="002369A3" w:rsidRPr="00A602FD">
        <w:rPr>
          <w:rFonts w:ascii="Arial" w:hAnsi="Arial" w:cs="Arial"/>
          <w:b/>
          <w:sz w:val="22"/>
          <w:szCs w:val="22"/>
        </w:rPr>
        <w:t>Brüssel</w:t>
      </w:r>
    </w:p>
    <w:p w:rsidR="00A602FD" w:rsidRPr="00A602FD" w:rsidRDefault="00BD526F" w:rsidP="00A602FD">
      <w:pPr>
        <w:ind w:left="1416" w:firstLine="708"/>
        <w:rPr>
          <w:rFonts w:ascii="Arial" w:hAnsi="Arial" w:cs="Arial"/>
          <w:b/>
          <w:sz w:val="22"/>
          <w:szCs w:val="22"/>
        </w:rPr>
      </w:pPr>
      <w:r w:rsidRPr="00A602FD">
        <w:rPr>
          <w:rFonts w:ascii="Arial" w:hAnsi="Arial" w:cs="Arial"/>
          <w:b/>
          <w:sz w:val="22"/>
          <w:szCs w:val="22"/>
        </w:rPr>
        <w:t>Tel.: +32-2-233-3891</w:t>
      </w:r>
    </w:p>
    <w:p w:rsidR="00837BB4" w:rsidRPr="00A602FD" w:rsidRDefault="00837BB4" w:rsidP="00A602FD">
      <w:pPr>
        <w:ind w:left="1416" w:firstLine="708"/>
        <w:rPr>
          <w:rFonts w:ascii="Arial" w:hAnsi="Arial" w:cs="Arial"/>
          <w:b/>
          <w:sz w:val="22"/>
          <w:szCs w:val="22"/>
        </w:rPr>
      </w:pPr>
      <w:r w:rsidRPr="00A602FD">
        <w:rPr>
          <w:rFonts w:ascii="Arial" w:hAnsi="Arial" w:cs="Arial"/>
          <w:b/>
          <w:sz w:val="22"/>
          <w:szCs w:val="22"/>
        </w:rPr>
        <w:t xml:space="preserve">E-Mail: </w:t>
      </w:r>
      <w:hyperlink r:id="rId6" w:history="1">
        <w:r w:rsidR="00A602FD" w:rsidRPr="00A602FD">
          <w:rPr>
            <w:rStyle w:val="Hyperlink"/>
            <w:rFonts w:ascii="Arial" w:hAnsi="Arial" w:cs="Arial"/>
            <w:b/>
            <w:sz w:val="22"/>
            <w:szCs w:val="22"/>
          </w:rPr>
          <w:t>stefani.weiss@bertelsmann-stiftung.de</w:t>
        </w:r>
      </w:hyperlink>
    </w:p>
    <w:p w:rsidR="00122028" w:rsidRPr="00A602FD" w:rsidRDefault="00122028" w:rsidP="00980DB6">
      <w:pPr>
        <w:rPr>
          <w:rFonts w:ascii="Arial" w:hAnsi="Arial" w:cs="Arial"/>
          <w:b/>
          <w:sz w:val="22"/>
          <w:szCs w:val="22"/>
        </w:rPr>
      </w:pPr>
    </w:p>
    <w:sectPr w:rsidR="00122028" w:rsidRPr="00A602FD" w:rsidSect="00A602FD">
      <w:pgSz w:w="11900" w:h="16840"/>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B4"/>
    <w:rsid w:val="00022D25"/>
    <w:rsid w:val="000472C9"/>
    <w:rsid w:val="00122028"/>
    <w:rsid w:val="002335C8"/>
    <w:rsid w:val="002369A3"/>
    <w:rsid w:val="002A24DF"/>
    <w:rsid w:val="0039134A"/>
    <w:rsid w:val="003A0FE2"/>
    <w:rsid w:val="0041436E"/>
    <w:rsid w:val="00461A40"/>
    <w:rsid w:val="00465529"/>
    <w:rsid w:val="005F0DA3"/>
    <w:rsid w:val="006318E2"/>
    <w:rsid w:val="006E7A18"/>
    <w:rsid w:val="0077776C"/>
    <w:rsid w:val="008052E0"/>
    <w:rsid w:val="00833D56"/>
    <w:rsid w:val="00837BB4"/>
    <w:rsid w:val="008944B4"/>
    <w:rsid w:val="00894B61"/>
    <w:rsid w:val="008E0040"/>
    <w:rsid w:val="00972C06"/>
    <w:rsid w:val="00980DB6"/>
    <w:rsid w:val="009B1205"/>
    <w:rsid w:val="00A413E4"/>
    <w:rsid w:val="00A602FD"/>
    <w:rsid w:val="00B0673E"/>
    <w:rsid w:val="00B17F58"/>
    <w:rsid w:val="00BD526F"/>
    <w:rsid w:val="00BF70F3"/>
    <w:rsid w:val="00CD4333"/>
    <w:rsid w:val="00D175CE"/>
    <w:rsid w:val="00E91524"/>
    <w:rsid w:val="00EA3B2C"/>
    <w:rsid w:val="00EE5679"/>
    <w:rsid w:val="00FD4B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B4"/>
    <w:pPr>
      <w:spacing w:after="0" w:line="240" w:lineRule="auto"/>
    </w:pPr>
    <w:rPr>
      <w:rFonts w:eastAsiaTheme="minorEastAsia"/>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69A3"/>
    <w:rPr>
      <w:sz w:val="16"/>
      <w:szCs w:val="16"/>
    </w:rPr>
  </w:style>
  <w:style w:type="paragraph" w:styleId="CommentText">
    <w:name w:val="annotation text"/>
    <w:basedOn w:val="Normal"/>
    <w:link w:val="CommentTextChar"/>
    <w:uiPriority w:val="99"/>
    <w:semiHidden/>
    <w:unhideWhenUsed/>
    <w:rsid w:val="002369A3"/>
    <w:rPr>
      <w:sz w:val="20"/>
      <w:szCs w:val="20"/>
    </w:rPr>
  </w:style>
  <w:style w:type="character" w:customStyle="1" w:styleId="CommentTextChar">
    <w:name w:val="Comment Text Char"/>
    <w:basedOn w:val="DefaultParagraphFont"/>
    <w:link w:val="CommentText"/>
    <w:uiPriority w:val="99"/>
    <w:semiHidden/>
    <w:rsid w:val="002369A3"/>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2369A3"/>
    <w:rPr>
      <w:b/>
      <w:bCs/>
    </w:rPr>
  </w:style>
  <w:style w:type="character" w:customStyle="1" w:styleId="CommentSubjectChar">
    <w:name w:val="Comment Subject Char"/>
    <w:basedOn w:val="CommentTextChar"/>
    <w:link w:val="CommentSubject"/>
    <w:uiPriority w:val="99"/>
    <w:semiHidden/>
    <w:rsid w:val="002369A3"/>
    <w:rPr>
      <w:rFonts w:eastAsiaTheme="minorEastAsia"/>
      <w:b/>
      <w:bCs/>
      <w:sz w:val="20"/>
      <w:szCs w:val="20"/>
      <w:lang w:eastAsia="de-DE"/>
    </w:rPr>
  </w:style>
  <w:style w:type="paragraph" w:styleId="BalloonText">
    <w:name w:val="Balloon Text"/>
    <w:basedOn w:val="Normal"/>
    <w:link w:val="BalloonTextChar"/>
    <w:uiPriority w:val="99"/>
    <w:semiHidden/>
    <w:unhideWhenUsed/>
    <w:rsid w:val="002369A3"/>
    <w:rPr>
      <w:rFonts w:ascii="Tahoma" w:hAnsi="Tahoma" w:cs="Tahoma"/>
      <w:sz w:val="16"/>
      <w:szCs w:val="16"/>
    </w:rPr>
  </w:style>
  <w:style w:type="character" w:customStyle="1" w:styleId="BalloonTextChar">
    <w:name w:val="Balloon Text Char"/>
    <w:basedOn w:val="DefaultParagraphFont"/>
    <w:link w:val="BalloonText"/>
    <w:uiPriority w:val="99"/>
    <w:semiHidden/>
    <w:rsid w:val="002369A3"/>
    <w:rPr>
      <w:rFonts w:ascii="Tahoma" w:eastAsiaTheme="minorEastAsia" w:hAnsi="Tahoma" w:cs="Tahoma"/>
      <w:sz w:val="16"/>
      <w:szCs w:val="16"/>
      <w:lang w:eastAsia="de-DE"/>
    </w:rPr>
  </w:style>
  <w:style w:type="character" w:styleId="Hyperlink">
    <w:name w:val="Hyperlink"/>
    <w:basedOn w:val="DefaultParagraphFont"/>
    <w:uiPriority w:val="99"/>
    <w:unhideWhenUsed/>
    <w:rsid w:val="00A602FD"/>
    <w:rPr>
      <w:color w:val="0000FF" w:themeColor="hyperlink"/>
      <w:u w:val="single"/>
    </w:rPr>
  </w:style>
  <w:style w:type="table" w:styleId="TableGrid">
    <w:name w:val="Table Grid"/>
    <w:basedOn w:val="TableNormal"/>
    <w:uiPriority w:val="59"/>
    <w:rsid w:val="00980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B4"/>
    <w:pPr>
      <w:spacing w:after="0" w:line="240" w:lineRule="auto"/>
    </w:pPr>
    <w:rPr>
      <w:rFonts w:eastAsiaTheme="minorEastAsia"/>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69A3"/>
    <w:rPr>
      <w:sz w:val="16"/>
      <w:szCs w:val="16"/>
    </w:rPr>
  </w:style>
  <w:style w:type="paragraph" w:styleId="CommentText">
    <w:name w:val="annotation text"/>
    <w:basedOn w:val="Normal"/>
    <w:link w:val="CommentTextChar"/>
    <w:uiPriority w:val="99"/>
    <w:semiHidden/>
    <w:unhideWhenUsed/>
    <w:rsid w:val="002369A3"/>
    <w:rPr>
      <w:sz w:val="20"/>
      <w:szCs w:val="20"/>
    </w:rPr>
  </w:style>
  <w:style w:type="character" w:customStyle="1" w:styleId="CommentTextChar">
    <w:name w:val="Comment Text Char"/>
    <w:basedOn w:val="DefaultParagraphFont"/>
    <w:link w:val="CommentText"/>
    <w:uiPriority w:val="99"/>
    <w:semiHidden/>
    <w:rsid w:val="002369A3"/>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2369A3"/>
    <w:rPr>
      <w:b/>
      <w:bCs/>
    </w:rPr>
  </w:style>
  <w:style w:type="character" w:customStyle="1" w:styleId="CommentSubjectChar">
    <w:name w:val="Comment Subject Char"/>
    <w:basedOn w:val="CommentTextChar"/>
    <w:link w:val="CommentSubject"/>
    <w:uiPriority w:val="99"/>
    <w:semiHidden/>
    <w:rsid w:val="002369A3"/>
    <w:rPr>
      <w:rFonts w:eastAsiaTheme="minorEastAsia"/>
      <w:b/>
      <w:bCs/>
      <w:sz w:val="20"/>
      <w:szCs w:val="20"/>
      <w:lang w:eastAsia="de-DE"/>
    </w:rPr>
  </w:style>
  <w:style w:type="paragraph" w:styleId="BalloonText">
    <w:name w:val="Balloon Text"/>
    <w:basedOn w:val="Normal"/>
    <w:link w:val="BalloonTextChar"/>
    <w:uiPriority w:val="99"/>
    <w:semiHidden/>
    <w:unhideWhenUsed/>
    <w:rsid w:val="002369A3"/>
    <w:rPr>
      <w:rFonts w:ascii="Tahoma" w:hAnsi="Tahoma" w:cs="Tahoma"/>
      <w:sz w:val="16"/>
      <w:szCs w:val="16"/>
    </w:rPr>
  </w:style>
  <w:style w:type="character" w:customStyle="1" w:styleId="BalloonTextChar">
    <w:name w:val="Balloon Text Char"/>
    <w:basedOn w:val="DefaultParagraphFont"/>
    <w:link w:val="BalloonText"/>
    <w:uiPriority w:val="99"/>
    <w:semiHidden/>
    <w:rsid w:val="002369A3"/>
    <w:rPr>
      <w:rFonts w:ascii="Tahoma" w:eastAsiaTheme="minorEastAsia" w:hAnsi="Tahoma" w:cs="Tahoma"/>
      <w:sz w:val="16"/>
      <w:szCs w:val="16"/>
      <w:lang w:eastAsia="de-DE"/>
    </w:rPr>
  </w:style>
  <w:style w:type="character" w:styleId="Hyperlink">
    <w:name w:val="Hyperlink"/>
    <w:basedOn w:val="DefaultParagraphFont"/>
    <w:uiPriority w:val="99"/>
    <w:unhideWhenUsed/>
    <w:rsid w:val="00A602FD"/>
    <w:rPr>
      <w:color w:val="0000FF" w:themeColor="hyperlink"/>
      <w:u w:val="single"/>
    </w:rPr>
  </w:style>
  <w:style w:type="table" w:styleId="TableGrid">
    <w:name w:val="Table Grid"/>
    <w:basedOn w:val="TableNormal"/>
    <w:uiPriority w:val="59"/>
    <w:rsid w:val="00980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fani.weiss@bertelsmann-stiftung.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Bertelsmann Stiftung</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ost11</dc:creator>
  <cp:keywords/>
  <dc:description/>
  <cp:lastModifiedBy>Michela Mastrantonio</cp:lastModifiedBy>
  <cp:revision>2</cp:revision>
  <cp:lastPrinted>2013-07-10T11:06:00Z</cp:lastPrinted>
  <dcterms:created xsi:type="dcterms:W3CDTF">2013-07-11T10:21:00Z</dcterms:created>
  <dcterms:modified xsi:type="dcterms:W3CDTF">2013-07-11T10:21:00Z</dcterms:modified>
</cp:coreProperties>
</file>